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D96" w:rsidRDefault="00521D96" w:rsidP="00521D96">
      <w:pPr>
        <w:pStyle w:val="BlockHeadings"/>
      </w:pPr>
      <w:r>
        <w:t>1NC Transportation Infrastructure is not Military</w:t>
      </w:r>
    </w:p>
    <w:p w:rsidR="00521D96" w:rsidRDefault="00521D96" w:rsidP="00521D96">
      <w:pPr>
        <w:pStyle w:val="Nothing"/>
      </w:pPr>
    </w:p>
    <w:p w:rsidR="00521D96" w:rsidRDefault="00521D96" w:rsidP="00521D96">
      <w:pPr>
        <w:pStyle w:val="Tags"/>
        <w:numPr>
          <w:ilvl w:val="0"/>
          <w:numId w:val="13"/>
        </w:numPr>
      </w:pPr>
      <w:r>
        <w:t>Interpretation</w:t>
      </w:r>
    </w:p>
    <w:p w:rsidR="00521D96" w:rsidRDefault="00521D96" w:rsidP="00521D96">
      <w:pPr>
        <w:pStyle w:val="Heading3"/>
      </w:pPr>
    </w:p>
    <w:p w:rsidR="00521D96" w:rsidRPr="00346DF5" w:rsidRDefault="00521D96" w:rsidP="00521D96">
      <w:pPr>
        <w:pStyle w:val="Heading3"/>
      </w:pPr>
      <w:r>
        <w:t xml:space="preserve">“Infrastructure” must be available for </w:t>
      </w:r>
      <w:r>
        <w:rPr>
          <w:u w:val="single"/>
        </w:rPr>
        <w:t>public</w:t>
      </w:r>
      <w:r>
        <w:t xml:space="preserve"> use --- military equipment is excluded</w:t>
      </w:r>
    </w:p>
    <w:p w:rsidR="00521D96" w:rsidRDefault="00521D96" w:rsidP="00521D96">
      <w:r w:rsidRPr="00346DF5">
        <w:rPr>
          <w:rStyle w:val="StyleStyleBold12pt"/>
        </w:rPr>
        <w:t>Fourie 6</w:t>
      </w:r>
      <w:r>
        <w:t xml:space="preserve"> (Johan, Chief Operating Officer – ArcelorMittal South Africa, “Economic Infrastructure: A Review of Definitions, Theory, and Empirics”, South African Journal of Economics, 74(3), September, Wiley Online Library)</w:t>
      </w:r>
    </w:p>
    <w:p w:rsidR="00521D96" w:rsidRPr="00346DF5" w:rsidRDefault="00521D96" w:rsidP="00D40C0E">
      <w:pPr>
        <w:ind w:left="360"/>
        <w:rPr>
          <w:sz w:val="16"/>
        </w:rPr>
      </w:pPr>
      <w:r w:rsidRPr="00346DF5">
        <w:rPr>
          <w:rStyle w:val="StyleBoldUnderline"/>
        </w:rPr>
        <w:t>One way to define infrastructure is to describe it in terms of its characteristics</w:t>
      </w:r>
      <w:r w:rsidRPr="00346DF5">
        <w:rPr>
          <w:sz w:val="16"/>
        </w:rPr>
        <w:t xml:space="preserve">. A perhaps sufficiently succinct definition of infrastructure, also called ‘social overhead capital’, is provided by </w:t>
      </w:r>
      <w:r w:rsidRPr="00346DF5">
        <w:rPr>
          <w:rStyle w:val="StyleBoldUnderline"/>
        </w:rPr>
        <w:t>Hirschman</w:t>
      </w:r>
      <w:r w:rsidRPr="00346DF5">
        <w:rPr>
          <w:sz w:val="16"/>
        </w:rPr>
        <w:t xml:space="preserve"> (1958). He </w:t>
      </w:r>
      <w:r w:rsidRPr="00346DF5">
        <w:rPr>
          <w:rStyle w:val="StyleBoldUnderline"/>
        </w:rPr>
        <w:t>defines infrastructure as “capital that provides public services”. In essence, infrastructure therefore consists of two elements –‘capitalness’ and ‘publicness’</w:t>
      </w:r>
      <w:r w:rsidRPr="00346DF5">
        <w:rPr>
          <w:sz w:val="16"/>
        </w:rPr>
        <w:t xml:space="preserve">. The first element is used to distinguish between infrastructure (defined as a stock variable) and public goods (defined as a flow variable) (Rietveld and Bruinsma, 1998:18). The latter element involves the general properties of non-rivalry and non-excludability. A distinction can, thus, be made between infrastructure and public capital where infrastructure would include goods that have a capital character, but are not necessarily public. </w:t>
      </w:r>
      <w:r w:rsidRPr="00346DF5">
        <w:rPr>
          <w:rStyle w:val="StyleBoldUnderline"/>
        </w:rPr>
        <w:t>Such goods</w:t>
      </w:r>
      <w:r w:rsidRPr="00346DF5">
        <w:rPr>
          <w:sz w:val="16"/>
        </w:rPr>
        <w:t xml:space="preserve"> could include privately owned telecommunications, but </w:t>
      </w:r>
      <w:r w:rsidRPr="00346DF5">
        <w:rPr>
          <w:rStyle w:val="StyleBoldUnderline"/>
        </w:rPr>
        <w:t xml:space="preserve">would </w:t>
      </w:r>
      <w:r w:rsidRPr="00346DF5">
        <w:rPr>
          <w:rStyle w:val="Emphasis"/>
        </w:rPr>
        <w:t>exclude</w:t>
      </w:r>
      <w:r w:rsidRPr="00346DF5">
        <w:rPr>
          <w:rStyle w:val="StyleBoldUnderline"/>
        </w:rPr>
        <w:t xml:space="preserve"> publicly owned military equipment (which are public capital, but does </w:t>
      </w:r>
      <w:r w:rsidRPr="00346DF5">
        <w:rPr>
          <w:rStyle w:val="Emphasis"/>
        </w:rPr>
        <w:t>not provide public services</w:t>
      </w:r>
      <w:r w:rsidRPr="00346DF5">
        <w:rPr>
          <w:rStyle w:val="StyleBoldUnderline"/>
        </w:rPr>
        <w:t>)</w:t>
      </w:r>
      <w:r w:rsidRPr="00346DF5">
        <w:rPr>
          <w:sz w:val="16"/>
        </w:rPr>
        <w:t xml:space="preserve">. Thus, </w:t>
      </w:r>
      <w:r w:rsidRPr="00346DF5">
        <w:rPr>
          <w:rStyle w:val="StyleBoldUnderline"/>
        </w:rPr>
        <w:t>a common feature of infrastructure seems to be that there is at least a strong public involvement in the use thereof</w:t>
      </w:r>
      <w:r w:rsidRPr="00346DF5">
        <w:rPr>
          <w:sz w:val="16"/>
        </w:rPr>
        <w:t xml:space="preserve"> (Rietveld and Bruinsma, 1998:19). </w:t>
      </w:r>
      <w:r w:rsidRPr="00346DF5">
        <w:rPr>
          <w:rStyle w:val="StyleBoldUnderline"/>
        </w:rPr>
        <w:t>Economists label such goods physical infrastructure</w:t>
      </w:r>
      <w:r w:rsidRPr="00346DF5">
        <w:rPr>
          <w:sz w:val="16"/>
        </w:rPr>
        <w:t>, or infrastructure capital, while urban planners might refer to them as transportation modalities and utilities.</w:t>
      </w:r>
      <w:r>
        <w:rPr>
          <w:sz w:val="16"/>
        </w:rPr>
        <w:t>”</w:t>
      </w:r>
    </w:p>
    <w:p w:rsidR="00521D96" w:rsidRDefault="00521D96" w:rsidP="00521D96">
      <w:pPr>
        <w:pStyle w:val="Nothing"/>
      </w:pPr>
    </w:p>
    <w:p w:rsidR="00521D96" w:rsidRDefault="00521D96" w:rsidP="00521D96">
      <w:pPr>
        <w:pStyle w:val="Tags"/>
        <w:numPr>
          <w:ilvl w:val="0"/>
          <w:numId w:val="13"/>
        </w:numPr>
      </w:pPr>
      <w:r>
        <w:t>Violation</w:t>
      </w:r>
    </w:p>
    <w:p w:rsidR="00521D96" w:rsidRDefault="00521D96" w:rsidP="00521D96">
      <w:pPr>
        <w:pStyle w:val="Nothing"/>
      </w:pPr>
    </w:p>
    <w:p w:rsidR="00A20815" w:rsidRDefault="00521D96" w:rsidP="0099374D">
      <w:pPr>
        <w:pStyle w:val="Tags"/>
        <w:numPr>
          <w:ilvl w:val="0"/>
          <w:numId w:val="13"/>
        </w:numPr>
      </w:pPr>
      <w:r>
        <w:t xml:space="preserve">Limits </w:t>
      </w:r>
      <w:r w:rsidR="00D9196A">
        <w:t>–</w:t>
      </w:r>
      <w:r>
        <w:t xml:space="preserve"> </w:t>
      </w:r>
      <w:r w:rsidR="00D9196A">
        <w:t xml:space="preserve">In an expansive topic, military infrastructure would literally double the topic. Every </w:t>
      </w:r>
      <w:r w:rsidR="0099374D">
        <w:t xml:space="preserve">kind of </w:t>
      </w:r>
      <w:r w:rsidR="00A20815">
        <w:t xml:space="preserve">infrastructure </w:t>
      </w:r>
      <w:r w:rsidR="00A76712">
        <w:t xml:space="preserve">can be used both for public and military purposes. </w:t>
      </w:r>
      <w:r w:rsidR="00A20815">
        <w:t xml:space="preserve"> Plus, the ability to make infrastructure </w:t>
      </w:r>
      <w:r w:rsidR="00A20815">
        <w:rPr>
          <w:i/>
        </w:rPr>
        <w:t>exclusively</w:t>
      </w:r>
      <w:r w:rsidR="00A20815">
        <w:t xml:space="preserve"> military would triple the topic because you can make any aff public, military, or multi-purpose</w:t>
      </w:r>
      <w:r w:rsidR="00274A67">
        <w:t xml:space="preserve">. Unlimiting the topic makes it </w:t>
      </w:r>
      <w:r w:rsidR="00274A67">
        <w:rPr>
          <w:i/>
        </w:rPr>
        <w:t>impossible</w:t>
      </w:r>
      <w:r w:rsidR="00274A67">
        <w:t xml:space="preserve"> for the negative to prepare for the debate.</w:t>
      </w:r>
    </w:p>
    <w:p w:rsidR="00A20815" w:rsidRDefault="00A20815" w:rsidP="00A20815">
      <w:pPr>
        <w:pStyle w:val="Nothing"/>
      </w:pPr>
    </w:p>
    <w:p w:rsidR="00274A67" w:rsidRDefault="00274A67" w:rsidP="00274A67">
      <w:pPr>
        <w:pStyle w:val="Tags"/>
        <w:numPr>
          <w:ilvl w:val="0"/>
          <w:numId w:val="13"/>
        </w:numPr>
      </w:pPr>
      <w:r>
        <w:t xml:space="preserve">Topicality is a voting issue for education and fairness. </w:t>
      </w:r>
    </w:p>
    <w:p w:rsidR="00274A67" w:rsidRDefault="00274A67" w:rsidP="00274A67">
      <w:pPr>
        <w:pStyle w:val="Nothing"/>
      </w:pPr>
    </w:p>
    <w:p w:rsidR="0099374D" w:rsidRPr="00274A67" w:rsidRDefault="0099374D" w:rsidP="00274A67">
      <w:pPr>
        <w:pStyle w:val="Nothing"/>
        <w:ind w:left="720"/>
      </w:pPr>
    </w:p>
    <w:p w:rsidR="00165E8C" w:rsidRDefault="00165E8C" w:rsidP="00165E8C">
      <w:pPr>
        <w:pStyle w:val="BlockHeadings"/>
      </w:pPr>
      <w:r>
        <w:br w:type="page"/>
        <w:t>No Military</w:t>
      </w:r>
    </w:p>
    <w:p w:rsidR="00165E8C" w:rsidRDefault="00165E8C" w:rsidP="00165E8C"/>
    <w:p w:rsidR="00165E8C" w:rsidRDefault="00165E8C" w:rsidP="005101A1">
      <w:pPr>
        <w:pStyle w:val="Tags"/>
      </w:pPr>
      <w:r>
        <w:t xml:space="preserve">U.S. law defines “infrastructure” as </w:t>
      </w:r>
      <w:r w:rsidRPr="00EC1B1A">
        <w:rPr>
          <w:u w:val="single"/>
        </w:rPr>
        <w:t>only</w:t>
      </w:r>
      <w:r>
        <w:t xml:space="preserve"> non-military</w:t>
      </w:r>
    </w:p>
    <w:p w:rsidR="00165E8C" w:rsidRDefault="00165E8C" w:rsidP="00165E8C">
      <w:r>
        <w:rPr>
          <w:rStyle w:val="StyleStyleBold12pt"/>
        </w:rPr>
        <w:t xml:space="preserve">National Infrastructure Improvement Act </w:t>
      </w:r>
      <w:r w:rsidRPr="00EC1B1A">
        <w:rPr>
          <w:rStyle w:val="StyleStyleBold12pt"/>
        </w:rPr>
        <w:t>7</w:t>
      </w:r>
      <w:r>
        <w:t xml:space="preserve"> (National Infrastructure Improvement Act of 2007 – Passed by the Senate, http://uspolitics.about.com/od/legislation/l/bl_s775.htm)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>(4) INFRASTRUCTURE-</w:t>
      </w:r>
    </w:p>
    <w:p w:rsidR="00165E8C" w:rsidRPr="00EC1B1A" w:rsidRDefault="00165E8C" w:rsidP="00D40C0E">
      <w:pPr>
        <w:ind w:left="720"/>
        <w:rPr>
          <w:sz w:val="16"/>
        </w:rPr>
      </w:pPr>
      <w:r w:rsidRPr="00EC1B1A">
        <w:rPr>
          <w:sz w:val="16"/>
        </w:rPr>
        <w:t xml:space="preserve">(A) IN GENERAL- </w:t>
      </w:r>
      <w:r w:rsidRPr="00EC1B1A">
        <w:rPr>
          <w:rStyle w:val="StyleBoldUnderline"/>
        </w:rPr>
        <w:t xml:space="preserve">The term `infrastructure' means a </w:t>
      </w:r>
      <w:r w:rsidRPr="00EC1B1A">
        <w:rPr>
          <w:rStyle w:val="Emphasis"/>
        </w:rPr>
        <w:t>nonmilitary</w:t>
      </w:r>
      <w:r w:rsidRPr="00EC1B1A">
        <w:rPr>
          <w:rStyle w:val="StyleBoldUnderline"/>
        </w:rPr>
        <w:t xml:space="preserve"> structure or facility and equipment associated with that structure or facility</w:t>
      </w:r>
      <w:r w:rsidRPr="00EC1B1A">
        <w:rPr>
          <w:sz w:val="16"/>
        </w:rPr>
        <w:t xml:space="preserve">.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(B) INCLUSIONS- </w:t>
      </w:r>
      <w:r w:rsidRPr="00EC1B1A">
        <w:rPr>
          <w:rStyle w:val="StyleBoldUnderline"/>
        </w:rPr>
        <w:t>The term `infrastructure' includes</w:t>
      </w:r>
      <w:r w:rsidRPr="00EC1B1A">
        <w:rPr>
          <w:sz w:val="16"/>
        </w:rPr>
        <w:t>--</w:t>
      </w:r>
    </w:p>
    <w:p w:rsidR="00165E8C" w:rsidRPr="00EC1B1A" w:rsidRDefault="00165E8C" w:rsidP="00D40C0E">
      <w:pPr>
        <w:ind w:left="720"/>
        <w:rPr>
          <w:sz w:val="16"/>
        </w:rPr>
      </w:pPr>
      <w:r w:rsidRPr="00EC1B1A">
        <w:rPr>
          <w:sz w:val="16"/>
        </w:rPr>
        <w:t xml:space="preserve">(i) a surface transportation facility (such as </w:t>
      </w:r>
      <w:r w:rsidRPr="00EC1B1A">
        <w:rPr>
          <w:rStyle w:val="StyleBoldUnderline"/>
        </w:rPr>
        <w:t>a road, bridge, highway, public transportation facility, and</w:t>
      </w:r>
      <w:r w:rsidRPr="00EC1B1A">
        <w:rPr>
          <w:sz w:val="16"/>
        </w:rPr>
        <w:t xml:space="preserve"> freight and passenger </w:t>
      </w:r>
      <w:r w:rsidRPr="00EC1B1A">
        <w:rPr>
          <w:rStyle w:val="StyleBoldUnderline"/>
        </w:rPr>
        <w:t>rail</w:t>
      </w:r>
      <w:r w:rsidRPr="00EC1B1A">
        <w:rPr>
          <w:sz w:val="16"/>
        </w:rPr>
        <w:t xml:space="preserve">), as the Commission, in consultation with the National Surface Transportation Policy and Revenue Study Commission established by section 1909(b)(1) of the Safe, Accountable, Flexible, Efficient Transportation Equity Act: A Legacy for Users (Public Law 109-59; 119 Stat. 1471), determines to be appropriate;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(ii) a </w:t>
      </w:r>
      <w:r w:rsidRPr="00EC1B1A">
        <w:rPr>
          <w:rStyle w:val="StyleBoldUnderline"/>
        </w:rPr>
        <w:t>mass transit facility</w:t>
      </w:r>
      <w:r w:rsidRPr="00EC1B1A">
        <w:rPr>
          <w:sz w:val="16"/>
        </w:rPr>
        <w:t xml:space="preserve">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(iii) an </w:t>
      </w:r>
      <w:r w:rsidRPr="00EC1B1A">
        <w:rPr>
          <w:rStyle w:val="StyleBoldUnderline"/>
        </w:rPr>
        <w:t>airport or airway</w:t>
      </w:r>
      <w:r w:rsidRPr="00EC1B1A">
        <w:rPr>
          <w:sz w:val="16"/>
        </w:rPr>
        <w:t xml:space="preserve"> facility;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(iv) a </w:t>
      </w:r>
      <w:r w:rsidRPr="00EC1B1A">
        <w:rPr>
          <w:rStyle w:val="StyleBoldUnderline"/>
        </w:rPr>
        <w:t>resource recovery facility</w:t>
      </w:r>
      <w:r w:rsidRPr="00EC1B1A">
        <w:rPr>
          <w:sz w:val="16"/>
        </w:rPr>
        <w:t xml:space="preserve">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(v) a </w:t>
      </w:r>
      <w:r w:rsidRPr="00EC1B1A">
        <w:rPr>
          <w:rStyle w:val="StyleBoldUnderline"/>
        </w:rPr>
        <w:t>water supply and distribution system</w:t>
      </w:r>
      <w:r w:rsidRPr="00EC1B1A">
        <w:rPr>
          <w:sz w:val="16"/>
        </w:rPr>
        <w:t xml:space="preserve">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(vi) a </w:t>
      </w:r>
      <w:r w:rsidRPr="00EC1B1A">
        <w:rPr>
          <w:rStyle w:val="StyleBoldUnderline"/>
        </w:rPr>
        <w:t>wastewater collection</w:t>
      </w:r>
      <w:r w:rsidRPr="00EC1B1A">
        <w:rPr>
          <w:sz w:val="16"/>
        </w:rPr>
        <w:t xml:space="preserve">, treatment, and related facility;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(vii) </w:t>
      </w:r>
      <w:r w:rsidRPr="00EC1B1A">
        <w:rPr>
          <w:rStyle w:val="StyleBoldUnderline"/>
        </w:rPr>
        <w:t>waterways, locks, and dams</w:t>
      </w:r>
      <w:r w:rsidRPr="00EC1B1A">
        <w:rPr>
          <w:sz w:val="16"/>
        </w:rPr>
        <w:t xml:space="preserve">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(viii) a </w:t>
      </w:r>
      <w:r w:rsidRPr="00EC1B1A">
        <w:rPr>
          <w:rStyle w:val="StyleBoldUnderline"/>
        </w:rPr>
        <w:t>levee</w:t>
      </w:r>
      <w:r w:rsidRPr="00EC1B1A">
        <w:rPr>
          <w:sz w:val="16"/>
        </w:rPr>
        <w:t xml:space="preserve"> and any related flood-control facility;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(ix) a </w:t>
      </w:r>
      <w:r w:rsidRPr="00EC1B1A">
        <w:rPr>
          <w:rStyle w:val="StyleBoldUnderline"/>
        </w:rPr>
        <w:t>dock or port; and</w:t>
      </w:r>
      <w:r w:rsidRPr="00EC1B1A">
        <w:rPr>
          <w:sz w:val="16"/>
        </w:rPr>
        <w:t xml:space="preserve"> </w:t>
      </w:r>
    </w:p>
    <w:p w:rsidR="00165E8C" w:rsidRPr="00EC1B1A" w:rsidRDefault="00165E8C" w:rsidP="00D40C0E">
      <w:pPr>
        <w:ind w:firstLine="720"/>
        <w:rPr>
          <w:sz w:val="16"/>
        </w:rPr>
      </w:pPr>
      <w:r w:rsidRPr="00EC1B1A">
        <w:rPr>
          <w:sz w:val="16"/>
        </w:rPr>
        <w:t xml:space="preserve">(x) a </w:t>
      </w:r>
      <w:r w:rsidRPr="00EC1B1A">
        <w:rPr>
          <w:rStyle w:val="StyleBoldUnderline"/>
        </w:rPr>
        <w:t>solid waste disposal facility</w:t>
      </w:r>
      <w:r w:rsidRPr="00EC1B1A">
        <w:rPr>
          <w:sz w:val="16"/>
        </w:rPr>
        <w:t>.</w:t>
      </w:r>
    </w:p>
    <w:p w:rsidR="00165E8C" w:rsidRDefault="00165E8C" w:rsidP="00165E8C"/>
    <w:p w:rsidR="00165E8C" w:rsidRPr="00B656EA" w:rsidRDefault="00165E8C" w:rsidP="005101A1">
      <w:pPr>
        <w:pStyle w:val="Tags"/>
      </w:pPr>
      <w:r>
        <w:t xml:space="preserve">Even </w:t>
      </w:r>
      <w:r>
        <w:rPr>
          <w:u w:val="single"/>
        </w:rPr>
        <w:t>broad</w:t>
      </w:r>
      <w:r>
        <w:t xml:space="preserve"> definitions of infrastructure exclude the military</w:t>
      </w:r>
    </w:p>
    <w:p w:rsidR="00165E8C" w:rsidRDefault="00165E8C" w:rsidP="00165E8C">
      <w:r w:rsidRPr="00B656EA">
        <w:rPr>
          <w:rStyle w:val="StyleStyleBold12pt"/>
        </w:rPr>
        <w:t>Ford 91</w:t>
      </w:r>
      <w:r>
        <w:t xml:space="preserve"> (Robert, Principal Administrator in Country Studies III Division – OECD, and Pierre Port, Principal Administrator in the Capital Movements – OECD, “Infrastructure and Private-Sector Productivity”, Economic Studies, 17, Autumn, http://www.oecd.org/dataoecd/32/48/34257626.pdf)</w:t>
      </w:r>
    </w:p>
    <w:p w:rsidR="00165E8C" w:rsidRDefault="00165E8C" w:rsidP="00D40C0E">
      <w:pPr>
        <w:ind w:left="720"/>
        <w:rPr>
          <w:sz w:val="16"/>
        </w:rPr>
      </w:pPr>
      <w:r w:rsidRPr="00B656EA">
        <w:rPr>
          <w:sz w:val="16"/>
        </w:rPr>
        <w:t xml:space="preserve">Although Aschauer concentrated on public-sector capital, this does not necessarily cover all infrastructure investment and, moreover, the split between publicly-provided and privately-provided infrastructure varies widely from country to country, perhaps for historical reasons. Therefore, </w:t>
      </w:r>
      <w:r w:rsidRPr="00B656EA">
        <w:rPr>
          <w:rStyle w:val="StyleBoldUnderline"/>
        </w:rPr>
        <w:t>two concepts of infrastructure were constructed. The “narrow” definition is the capital stock of “producers of government services”, and the “broad” definition includes, in addition,</w:t>
      </w:r>
      <w:r w:rsidRPr="00B656EA">
        <w:rPr>
          <w:sz w:val="16"/>
        </w:rPr>
        <w:t xml:space="preserve"> equipment and structures in </w:t>
      </w:r>
      <w:r w:rsidRPr="00B656EA">
        <w:rPr>
          <w:rStyle w:val="StyleBoldUnderline"/>
        </w:rPr>
        <w:t>electricity, gas and water</w:t>
      </w:r>
      <w:r w:rsidRPr="00B656EA">
        <w:rPr>
          <w:sz w:val="16"/>
        </w:rPr>
        <w:t xml:space="preserve">, and structures in </w:t>
      </w:r>
      <w:r w:rsidRPr="00B656EA">
        <w:rPr>
          <w:rStyle w:val="StyleBoldUnderline"/>
        </w:rPr>
        <w:t>transport and communication</w:t>
      </w:r>
      <w:r w:rsidRPr="00B656EA">
        <w:rPr>
          <w:sz w:val="16"/>
        </w:rPr>
        <w:t xml:space="preserve"> (these are subtracted from the private-sector capital stock in the relevant regressions). The broad definition is somewhat more internationally comparable. </w:t>
      </w:r>
      <w:r w:rsidRPr="00B656EA">
        <w:rPr>
          <w:rStyle w:val="Emphasis"/>
        </w:rPr>
        <w:t>Neither definition includes the military capital stock</w:t>
      </w:r>
      <w:r w:rsidRPr="00B656EA">
        <w:rPr>
          <w:sz w:val="16"/>
        </w:rPr>
        <w:t>.</w:t>
      </w:r>
    </w:p>
    <w:p w:rsidR="00A76712" w:rsidRDefault="00A76712" w:rsidP="00165E8C"/>
    <w:p w:rsidR="00D40C0E" w:rsidRDefault="005101A1" w:rsidP="00D40C0E">
      <w:pPr>
        <w:pStyle w:val="Tags"/>
      </w:pPr>
      <w:r>
        <w:t>Contextually, infrastructure is distinct from military goods</w:t>
      </w:r>
    </w:p>
    <w:p w:rsidR="00D40C0E" w:rsidRPr="00D40C0E" w:rsidRDefault="00D40C0E" w:rsidP="00D40C0E">
      <w:pPr>
        <w:pStyle w:val="Nothing"/>
        <w:rPr>
          <w:rStyle w:val="Author-Date"/>
        </w:rPr>
      </w:pPr>
      <w:r w:rsidRPr="00D40C0E">
        <w:rPr>
          <w:rStyle w:val="Author-Date"/>
        </w:rPr>
        <w:t>Activ</w:t>
      </w:r>
      <w:r>
        <w:rPr>
          <w:rStyle w:val="Author-Date"/>
        </w:rPr>
        <w:t>ist Post ‘12</w:t>
      </w:r>
    </w:p>
    <w:p w:rsidR="00A76712" w:rsidRDefault="00D40C0E" w:rsidP="00165E8C">
      <w:r w:rsidRPr="00D40C0E">
        <w:t>http://www.activistpost.com/2012/03/new-obama-executive-order-seizes-us.html</w:t>
      </w:r>
    </w:p>
    <w:p w:rsidR="00A76712" w:rsidRDefault="00D40C0E" w:rsidP="00D40C0E">
      <w:pPr>
        <w:pStyle w:val="Cards"/>
      </w:pPr>
      <w:r w:rsidRPr="00D40C0E">
        <w:t xml:space="preserve">In a stunning move, on March 16, 2012, Barack </w:t>
      </w:r>
      <w:r w:rsidRPr="0028531B">
        <w:rPr>
          <w:u w:val="single"/>
        </w:rPr>
        <w:t xml:space="preserve">Obama </w:t>
      </w:r>
      <w:r w:rsidRPr="005101A1">
        <w:rPr>
          <w:u w:val="single"/>
        </w:rPr>
        <w:t>signed an Executive Order stating that the President</w:t>
      </w:r>
      <w:r w:rsidRPr="00D40C0E">
        <w:t xml:space="preserve"> and his specifically designated Secretaries now </w:t>
      </w:r>
      <w:r w:rsidRPr="005101A1">
        <w:rPr>
          <w:u w:val="single"/>
        </w:rPr>
        <w:t>have the authority to commandeer</w:t>
      </w:r>
      <w:r w:rsidRPr="00D40C0E">
        <w:t xml:space="preserve"> </w:t>
      </w:r>
      <w:r w:rsidRPr="005101A1">
        <w:rPr>
          <w:u w:val="single"/>
        </w:rPr>
        <w:t>all domestic U.S. resources</w:t>
      </w:r>
      <w:r w:rsidRPr="00D40C0E">
        <w:t xml:space="preserve"> including food and water. </w:t>
      </w:r>
      <w:r w:rsidRPr="005101A1">
        <w:rPr>
          <w:u w:val="single"/>
        </w:rPr>
        <w:t xml:space="preserve">The EO </w:t>
      </w:r>
      <w:r w:rsidRPr="005101A1">
        <w:t>also</w:t>
      </w:r>
      <w:r w:rsidRPr="005101A1">
        <w:rPr>
          <w:u w:val="single"/>
        </w:rPr>
        <w:t xml:space="preserve"> states that the President </w:t>
      </w:r>
      <w:r w:rsidRPr="005101A1">
        <w:t>and his Secretaries</w:t>
      </w:r>
      <w:r w:rsidRPr="005101A1">
        <w:rPr>
          <w:u w:val="single"/>
        </w:rPr>
        <w:t xml:space="preserve"> have the authority to seize all </w:t>
      </w:r>
      <w:r w:rsidRPr="005101A1">
        <w:t>transportation, energy, and</w:t>
      </w:r>
      <w:r w:rsidRPr="005101A1">
        <w:rPr>
          <w:u w:val="single"/>
        </w:rPr>
        <w:t xml:space="preserve"> infrastructure inside the United States </w:t>
      </w:r>
      <w:r w:rsidRPr="005101A1">
        <w:t>as well as forcibly induct/draft American citizens into the military</w:t>
      </w:r>
      <w:r w:rsidRPr="00D40C0E">
        <w:t>. The EO also contains a vague reference in regards to harnessing American citizens to fulfill “labor requirements” for the purposes of national defense.</w:t>
      </w:r>
      <w:r w:rsidR="00A76712">
        <w:br w:type="page"/>
      </w:r>
    </w:p>
    <w:p w:rsidR="00A76712" w:rsidRDefault="00A76712" w:rsidP="00A76712">
      <w:pPr>
        <w:pStyle w:val="BlockHeadings"/>
      </w:pPr>
      <w:r>
        <w:t>2NC</w:t>
      </w:r>
    </w:p>
    <w:p w:rsidR="00A76712" w:rsidRDefault="00A76712" w:rsidP="00A76712">
      <w:pPr>
        <w:pStyle w:val="Tags"/>
      </w:pPr>
    </w:p>
    <w:p w:rsidR="00A76712" w:rsidRDefault="00A76712" w:rsidP="005101A1">
      <w:pPr>
        <w:pStyle w:val="Tags"/>
      </w:pPr>
      <w:r>
        <w:t>All technology is dual use</w:t>
      </w:r>
    </w:p>
    <w:p w:rsidR="00A76712" w:rsidRPr="0099374D" w:rsidRDefault="00A76712" w:rsidP="00A76712">
      <w:pPr>
        <w:rPr>
          <w:sz w:val="16"/>
          <w:szCs w:val="16"/>
        </w:rPr>
      </w:pPr>
      <w:r w:rsidRPr="0099374D">
        <w:rPr>
          <w:sz w:val="16"/>
          <w:szCs w:val="16"/>
        </w:rPr>
        <w:t xml:space="preserve">Raymond D. </w:t>
      </w:r>
      <w:r w:rsidRPr="0099374D">
        <w:rPr>
          <w:b/>
        </w:rPr>
        <w:t>Duvall</w:t>
      </w:r>
      <w:r w:rsidRPr="0099374D">
        <w:rPr>
          <w:sz w:val="16"/>
          <w:szCs w:val="16"/>
        </w:rPr>
        <w:t xml:space="preserve">, and Jonathan </w:t>
      </w:r>
      <w:r w:rsidRPr="0099374D">
        <w:rPr>
          <w:b/>
        </w:rPr>
        <w:t>Havercroft</w:t>
      </w:r>
      <w:r w:rsidRPr="0099374D">
        <w:rPr>
          <w:sz w:val="16"/>
          <w:szCs w:val="16"/>
        </w:rPr>
        <w:t xml:space="preserve"> , University of Minnesota &amp; University of Victoria, March 22-25,</w:t>
      </w:r>
      <w:r w:rsidRPr="0099374D">
        <w:rPr>
          <w:b/>
        </w:rPr>
        <w:t>2006</w:t>
      </w:r>
      <w:r w:rsidRPr="0099374D">
        <w:rPr>
          <w:sz w:val="16"/>
          <w:szCs w:val="16"/>
        </w:rPr>
        <w:t xml:space="preserve"> (“Taking Sovereignty Out of This World: Space Weaponization and the Production of Late-Modern Political Subjects,” International Studies Association. </w:t>
      </w:r>
      <w:hyperlink r:id="rId7" w:history="1">
        <w:r w:rsidRPr="0099374D">
          <w:rPr>
            <w:rStyle w:val="Hyperlink"/>
            <w:sz w:val="16"/>
            <w:szCs w:val="16"/>
          </w:rPr>
          <w:t>http://www.allacademic.com//meta/p_mla_apa_research_citation/0/9/8/6/8/pages98680/p98680-1.php</w:t>
        </w:r>
      </w:hyperlink>
      <w:r w:rsidRPr="0099374D">
        <w:rPr>
          <w:sz w:val="16"/>
          <w:szCs w:val="16"/>
        </w:rPr>
        <w:t xml:space="preserve"> ). </w:t>
      </w:r>
    </w:p>
    <w:p w:rsidR="00A76712" w:rsidRPr="0099374D" w:rsidRDefault="00A76712" w:rsidP="00D40C0E">
      <w:pPr>
        <w:ind w:left="720"/>
        <w:rPr>
          <w:b/>
          <w:u w:val="single"/>
        </w:rPr>
      </w:pPr>
      <w:r w:rsidRPr="0099374D">
        <w:rPr>
          <w:u w:val="single"/>
        </w:rPr>
        <w:t>The weaponization of space</w:t>
      </w:r>
      <w:r w:rsidRPr="0099374D">
        <w:rPr>
          <w:sz w:val="16"/>
          <w:szCs w:val="16"/>
        </w:rPr>
        <w:t>—the act of placing weapons in outer space—</w:t>
      </w:r>
      <w:r w:rsidRPr="0099374D">
        <w:rPr>
          <w:u w:val="single"/>
        </w:rPr>
        <w:t>has an intimate relationship to space exploratio</w:t>
      </w:r>
      <w:r w:rsidRPr="0099374D">
        <w:rPr>
          <w:sz w:val="16"/>
          <w:szCs w:val="16"/>
        </w:rPr>
        <w:t xml:space="preserve">n, in that the history of the former is embedded in the latter, </w:t>
      </w:r>
      <w:r w:rsidRPr="00DE02BA">
        <w:t>while</w:t>
      </w:r>
      <w:r w:rsidRPr="0099374D">
        <w:rPr>
          <w:u w:val="single"/>
        </w:rPr>
        <w:t xml:space="preserve"> the impetus for space exploration, </w:t>
      </w:r>
      <w:r w:rsidRPr="00DE02BA">
        <w:t>in turn</w:t>
      </w:r>
      <w:r w:rsidRPr="0099374D">
        <w:rPr>
          <w:u w:val="single"/>
        </w:rPr>
        <w:t>, is embedded in histories of military developme</w:t>
      </w:r>
      <w:r w:rsidRPr="0099374D">
        <w:rPr>
          <w:sz w:val="16"/>
          <w:szCs w:val="16"/>
        </w:rPr>
        <w:t xml:space="preserve">nt. Since the launch of Sputnik, states that have ability to access— and hence to explore—outer space have sought ways in which that access could improve their military capabilities. Consequently, </w:t>
      </w:r>
      <w:r w:rsidRPr="00DE02BA">
        <w:t xml:space="preserve">militaries in general and the U.S. military in particular have had a strong interest in the military uses of space for the last half century. </w:t>
      </w:r>
      <w:r w:rsidRPr="0099374D">
        <w:rPr>
          <w:sz w:val="16"/>
          <w:szCs w:val="16"/>
        </w:rPr>
        <w:t xml:space="preserve">Early on, </w:t>
      </w:r>
      <w:r w:rsidRPr="00DE02BA">
        <w:t>the military interest in space had two direct expressions: enhancing surveillance; and developing rocketry technologies that could be put to use for earthbased weapons, such as missiles</w:t>
      </w:r>
      <w:r w:rsidRPr="0099374D">
        <w:rPr>
          <w:sz w:val="16"/>
          <w:szCs w:val="16"/>
        </w:rPr>
        <w:t xml:space="preserve">. </w:t>
      </w:r>
      <w:r w:rsidRPr="00DE02BA">
        <w:t>Militaries also have a vested interest in the “dual-use” technologies that are often developed in space exploration missions</w:t>
      </w:r>
      <w:r w:rsidRPr="0099374D">
        <w:rPr>
          <w:sz w:val="16"/>
          <w:szCs w:val="16"/>
        </w:rPr>
        <w:t xml:space="preserve">. </w:t>
      </w:r>
      <w:r w:rsidRPr="0099374D">
        <w:rPr>
          <w:u w:val="single"/>
        </w:rPr>
        <w:t>While NASA goes to great lengths in its public relations to stress the benefits to science and the</w:t>
      </w:r>
      <w:r w:rsidRPr="0099374D">
        <w:rPr>
          <w:sz w:val="16"/>
          <w:szCs w:val="16"/>
        </w:rPr>
        <w:t xml:space="preserve"> (</w:t>
      </w:r>
      <w:r w:rsidRPr="0099374D">
        <w:rPr>
          <w:b/>
          <w:u w:val="single"/>
        </w:rPr>
        <w:t xml:space="preserve">American) public of its space explorations, it is noteworthy that many of the technologies developed for those missions also have potential military use. </w:t>
      </w:r>
    </w:p>
    <w:p w:rsidR="00A76712" w:rsidRPr="0099374D" w:rsidRDefault="00A76712" w:rsidP="00A76712">
      <w:pPr>
        <w:pStyle w:val="Nothing"/>
        <w:ind w:left="720"/>
      </w:pPr>
    </w:p>
    <w:p w:rsidR="00165E8C" w:rsidRDefault="00165E8C" w:rsidP="00165E8C"/>
    <w:p w:rsidR="00274A67" w:rsidRDefault="00274A67">
      <w:pPr>
        <w:rPr>
          <w:rFonts w:eastAsia="Times New Roman"/>
          <w:b/>
          <w:sz w:val="28"/>
          <w:szCs w:val="24"/>
        </w:rPr>
      </w:pPr>
      <w:r>
        <w:br w:type="page"/>
      </w:r>
    </w:p>
    <w:p w:rsidR="00521D96" w:rsidRPr="006068BA" w:rsidRDefault="00165E8C" w:rsidP="00165E8C">
      <w:pPr>
        <w:pStyle w:val="BlockHeadings"/>
      </w:pPr>
      <w:r>
        <w:t>Yes Military</w:t>
      </w:r>
    </w:p>
    <w:p w:rsidR="00165E8C" w:rsidRDefault="00165E8C" w:rsidP="00521D96">
      <w:pPr>
        <w:pStyle w:val="Nothing"/>
      </w:pPr>
    </w:p>
    <w:p w:rsidR="00165E8C" w:rsidRDefault="00165E8C" w:rsidP="005101A1">
      <w:pPr>
        <w:pStyle w:val="Tags"/>
      </w:pPr>
      <w:r>
        <w:t>“Transportation” includes the military</w:t>
      </w:r>
    </w:p>
    <w:p w:rsidR="00165E8C" w:rsidRDefault="00165E8C" w:rsidP="00165E8C">
      <w:r w:rsidRPr="00871BED">
        <w:rPr>
          <w:rStyle w:val="StyleStyleBold12pt"/>
        </w:rPr>
        <w:t>Kim 9</w:t>
      </w:r>
      <w:r>
        <w:t xml:space="preserve"> (Brian, Wyle Laboratories, Inc., et al., “Guidebook on Preparing Airport Greenhouse Gas Emissions Inventories”, Airport Cooperative Research Program – Report 11, http://onlinepubs.trb.org/onlinepubs/acrp/acrp_rpt_011.pdf)</w:t>
      </w:r>
    </w:p>
    <w:p w:rsidR="00165E8C" w:rsidRPr="00871BED" w:rsidRDefault="00165E8C" w:rsidP="00D40C0E">
      <w:pPr>
        <w:ind w:left="720"/>
      </w:pPr>
      <w:r w:rsidRPr="00871BED">
        <w:rPr>
          <w:rStyle w:val="StyleBoldUnderline"/>
        </w:rPr>
        <w:t xml:space="preserve">Transportation Sector: Consists of private and public passenger and freight transportation, as well as government transportation, </w:t>
      </w:r>
      <w:r w:rsidRPr="00871BED">
        <w:rPr>
          <w:rStyle w:val="Emphasis"/>
        </w:rPr>
        <w:t>including military operations</w:t>
      </w:r>
      <w:r>
        <w:t>.</w:t>
      </w:r>
    </w:p>
    <w:p w:rsidR="00274A67" w:rsidRDefault="00274A67" w:rsidP="00521D96">
      <w:pPr>
        <w:pStyle w:val="Nothing"/>
      </w:pPr>
    </w:p>
    <w:p w:rsidR="00274A67" w:rsidRDefault="00274A67" w:rsidP="005101A1">
      <w:pPr>
        <w:pStyle w:val="Tags"/>
      </w:pPr>
      <w:r>
        <w:t>Infrastructure includes the military installations of a country</w:t>
      </w:r>
    </w:p>
    <w:p w:rsidR="00274A67" w:rsidRPr="002912CD" w:rsidRDefault="00274A67" w:rsidP="00274A67">
      <w:pPr>
        <w:pStyle w:val="Nothing"/>
        <w:rPr>
          <w:rStyle w:val="Author-Date"/>
          <w:b w:val="0"/>
        </w:rPr>
      </w:pPr>
      <w:r>
        <w:rPr>
          <w:rStyle w:val="Author-Date"/>
        </w:rPr>
        <w:t xml:space="preserve">Dictionary.com </w:t>
      </w:r>
      <w:r>
        <w:rPr>
          <w:rStyle w:val="Author-Date"/>
          <w:b w:val="0"/>
        </w:rPr>
        <w:t>Accessed 6/</w:t>
      </w:r>
      <w:r w:rsidRPr="002912CD">
        <w:rPr>
          <w:rStyle w:val="Author-Date"/>
        </w:rPr>
        <w:t>2012</w:t>
      </w:r>
    </w:p>
    <w:p w:rsidR="00274A67" w:rsidRDefault="00274A67" w:rsidP="00274A67">
      <w:pPr>
        <w:pStyle w:val="Cards"/>
      </w:pPr>
      <w:r>
        <w:t>in·fra·struc·ture</w:t>
      </w:r>
    </w:p>
    <w:p w:rsidR="00274A67" w:rsidRDefault="00274A67" w:rsidP="00274A67">
      <w:pPr>
        <w:pStyle w:val="Cards"/>
      </w:pPr>
      <w:r>
        <w:t xml:space="preserve">  </w:t>
      </w:r>
      <w:r>
        <w:t> </w:t>
      </w:r>
      <w:r>
        <w:t>[in-fruh-struhk-cher] Show IPA</w:t>
      </w:r>
    </w:p>
    <w:p w:rsidR="00274A67" w:rsidRDefault="00274A67" w:rsidP="00274A67">
      <w:pPr>
        <w:pStyle w:val="Cards"/>
      </w:pPr>
      <w:r>
        <w:t>noun</w:t>
      </w:r>
    </w:p>
    <w:p w:rsidR="00274A67" w:rsidRDefault="00274A67" w:rsidP="00274A67">
      <w:pPr>
        <w:pStyle w:val="Cards"/>
      </w:pPr>
      <w:r>
        <w:t>1. the basic, underlying framework or features of a system or organization.</w:t>
      </w:r>
    </w:p>
    <w:p w:rsidR="00274A67" w:rsidRDefault="00274A67" w:rsidP="00274A67">
      <w:pPr>
        <w:pStyle w:val="Cards"/>
      </w:pPr>
      <w:r>
        <w:t xml:space="preserve">2. </w:t>
      </w:r>
      <w:r w:rsidRPr="002912CD">
        <w:t>the fundamental facilities and systems serving a country,</w:t>
      </w:r>
      <w:r>
        <w:t xml:space="preserve"> city, or area, as transportation and communication systems, power plants, and schools.</w:t>
      </w:r>
    </w:p>
    <w:p w:rsidR="00274A67" w:rsidRDefault="00274A67" w:rsidP="00274A67">
      <w:pPr>
        <w:pStyle w:val="Cards"/>
        <w:rPr>
          <w:rStyle w:val="DebateUnderline"/>
        </w:rPr>
      </w:pPr>
      <w:r>
        <w:t xml:space="preserve">3. </w:t>
      </w:r>
      <w:r w:rsidRPr="002912CD">
        <w:rPr>
          <w:rStyle w:val="DebateUnderline"/>
        </w:rPr>
        <w:t>the military installations of a country.</w:t>
      </w:r>
    </w:p>
    <w:p w:rsidR="00274A67" w:rsidRDefault="00274A67" w:rsidP="00274A67">
      <w:pPr>
        <w:pStyle w:val="Nothing"/>
      </w:pPr>
    </w:p>
    <w:p w:rsidR="00274A67" w:rsidRDefault="00274A67" w:rsidP="005101A1">
      <w:pPr>
        <w:pStyle w:val="Tags"/>
      </w:pPr>
      <w:r>
        <w:t>Even if you accept the public standards, military infrastructure still qualifies</w:t>
      </w:r>
    </w:p>
    <w:p w:rsidR="00274A67" w:rsidRPr="00DC107E" w:rsidRDefault="00274A67" w:rsidP="00274A67">
      <w:pPr>
        <w:pStyle w:val="Cites"/>
        <w:rPr>
          <w:rStyle w:val="Author-Date"/>
          <w:b w:val="0"/>
        </w:rPr>
      </w:pPr>
      <w:bookmarkStart w:id="0" w:name="_GoBack"/>
      <w:r w:rsidRPr="00DC107E">
        <w:rPr>
          <w:rStyle w:val="Author-Date"/>
        </w:rPr>
        <w:t>Inderst 9</w:t>
      </w:r>
    </w:p>
    <w:bookmarkEnd w:id="0"/>
    <w:p w:rsidR="00274A67" w:rsidRPr="00DC107E" w:rsidRDefault="00274A67" w:rsidP="00274A67">
      <w:pPr>
        <w:pStyle w:val="Cites"/>
      </w:pPr>
      <w:r w:rsidRPr="00DC107E">
        <w:t>Georg Inderst</w:t>
      </w:r>
      <w:r>
        <w:t xml:space="preserve"> 2009 “Pension Fund Investment in Infrastructure” OECD Working Papers on Insurance and Private Pensions </w:t>
      </w:r>
      <w:r w:rsidRPr="00DC107E">
        <w:t>http://www.oecd.org/dataoecd/41/9/42052208.pdf</w:t>
      </w:r>
    </w:p>
    <w:p w:rsidR="00274A67" w:rsidRDefault="00274A67" w:rsidP="00274A67">
      <w:pPr>
        <w:pStyle w:val="Cards"/>
      </w:pPr>
      <w:r>
        <w:t xml:space="preserve">The definition of infrastructure investment seems intuitive. </w:t>
      </w:r>
      <w:r w:rsidRPr="00DC107E">
        <w:rPr>
          <w:rStyle w:val="DebateUnderline"/>
        </w:rPr>
        <w:t>The OECD uses a simple and general definition for infrastructure as the system of public works in a country,</w:t>
      </w:r>
      <w:r>
        <w:t xml:space="preserve"> state or region, including roads, utility lines and public buildings. A standard dictionary's definition is:</w:t>
      </w:r>
    </w:p>
    <w:p w:rsidR="00274A67" w:rsidRDefault="00274A67" w:rsidP="00274A67">
      <w:pPr>
        <w:pStyle w:val="Cards"/>
      </w:pPr>
      <w:r w:rsidRPr="00DC107E">
        <w:rPr>
          <w:rStyle w:val="DebateUnderline"/>
        </w:rPr>
        <w:t xml:space="preserve">'The basic facilities, services, and installations needed for the functioning of a </w:t>
      </w:r>
      <w:r>
        <w:t xml:space="preserve">community or </w:t>
      </w:r>
      <w:r w:rsidRPr="00DC107E">
        <w:rPr>
          <w:rStyle w:val="DebateUnderline"/>
        </w:rPr>
        <w:t>society</w:t>
      </w:r>
      <w:r>
        <w:t>, such as transportation and communications systems, water and power lines, and public institutions including schools, post offices, and prisons." (American Heritage Dictionary).</w:t>
      </w:r>
    </w:p>
    <w:p w:rsidR="00274A67" w:rsidRDefault="00274A67" w:rsidP="00274A67">
      <w:pPr>
        <w:pStyle w:val="Cards"/>
      </w:pPr>
      <w:r>
        <w:t xml:space="preserve">Infrastructure assets are traditionally defined by their physical characteristics. </w:t>
      </w:r>
      <w:r w:rsidRPr="00DC107E">
        <w:rPr>
          <w:rStyle w:val="DebateUnderline"/>
        </w:rPr>
        <w:t>One can split them into two main categories</w:t>
      </w:r>
      <w:r>
        <w:t>, and a range of sectors within those:</w:t>
      </w:r>
    </w:p>
    <w:p w:rsidR="00274A67" w:rsidRPr="00DC107E" w:rsidRDefault="00274A67" w:rsidP="00274A67">
      <w:pPr>
        <w:pStyle w:val="Cards"/>
        <w:rPr>
          <w:rStyle w:val="DebateUnderline"/>
        </w:rPr>
      </w:pPr>
      <w:r w:rsidRPr="00DC107E">
        <w:rPr>
          <w:rStyle w:val="DebateUnderline"/>
        </w:rPr>
        <w:t>Economic infrastructure</w:t>
      </w:r>
    </w:p>
    <w:p w:rsidR="00274A67" w:rsidRDefault="00274A67" w:rsidP="00274A67">
      <w:pPr>
        <w:pStyle w:val="Cards"/>
      </w:pPr>
      <w:r>
        <w:t>• transport (e.g. toll roads, airports, seaport, tunnels, bridges, metro, rail systems)</w:t>
      </w:r>
    </w:p>
    <w:p w:rsidR="00274A67" w:rsidRDefault="00274A67" w:rsidP="00274A67">
      <w:pPr>
        <w:pStyle w:val="Cards"/>
      </w:pPr>
      <w:r>
        <w:t>• utilities (e.g. water supply, sewage system, energy distribution networks, power plants, pipelines, gas storage)</w:t>
      </w:r>
    </w:p>
    <w:p w:rsidR="00274A67" w:rsidRDefault="00274A67" w:rsidP="00274A67">
      <w:pPr>
        <w:pStyle w:val="Cards"/>
      </w:pPr>
      <w:r>
        <w:t>• communication (e.g. TV/ telephone transmitters, towers, satellites, cable networks)</w:t>
      </w:r>
    </w:p>
    <w:p w:rsidR="00274A67" w:rsidRDefault="00274A67" w:rsidP="00274A67">
      <w:pPr>
        <w:pStyle w:val="Cards"/>
      </w:pPr>
      <w:r>
        <w:t>• renewable energy</w:t>
      </w:r>
    </w:p>
    <w:p w:rsidR="00274A67" w:rsidRPr="00DC107E" w:rsidRDefault="00274A67" w:rsidP="00274A67">
      <w:pPr>
        <w:pStyle w:val="Cards"/>
        <w:rPr>
          <w:rStyle w:val="DebateUnderline"/>
        </w:rPr>
      </w:pPr>
      <w:r w:rsidRPr="00DC107E">
        <w:rPr>
          <w:rStyle w:val="DebateUnderline"/>
        </w:rPr>
        <w:t>Social infrastructure</w:t>
      </w:r>
    </w:p>
    <w:p w:rsidR="00274A67" w:rsidRDefault="00274A67" w:rsidP="00274A67">
      <w:pPr>
        <w:pStyle w:val="Cards"/>
      </w:pPr>
      <w:r>
        <w:t>• education facilities</w:t>
      </w:r>
    </w:p>
    <w:p w:rsidR="00274A67" w:rsidRDefault="00274A67" w:rsidP="00274A67">
      <w:pPr>
        <w:pStyle w:val="Cards"/>
      </w:pPr>
      <w:r>
        <w:t>• health (hospitals and health care centres)</w:t>
      </w:r>
    </w:p>
    <w:p w:rsidR="00274A67" w:rsidRDefault="00274A67" w:rsidP="00274A67">
      <w:pPr>
        <w:pStyle w:val="Cards"/>
      </w:pPr>
      <w:r>
        <w:t xml:space="preserve">• </w:t>
      </w:r>
      <w:r w:rsidRPr="00DC107E">
        <w:rPr>
          <w:rStyle w:val="DebateUnderline"/>
        </w:rPr>
        <w:t>security</w:t>
      </w:r>
      <w:r>
        <w:t xml:space="preserve"> (e.g. prisons, police, </w:t>
      </w:r>
      <w:r w:rsidRPr="00DC107E">
        <w:rPr>
          <w:rStyle w:val="DebateUnderline"/>
        </w:rPr>
        <w:t>military stations</w:t>
      </w:r>
      <w:r>
        <w:t>)</w:t>
      </w:r>
    </w:p>
    <w:p w:rsidR="00274A67" w:rsidRPr="002912CD" w:rsidRDefault="00274A67" w:rsidP="00274A67">
      <w:pPr>
        <w:pStyle w:val="Cards"/>
      </w:pPr>
      <w:r>
        <w:t>• others (e.g. parks).</w:t>
      </w:r>
    </w:p>
    <w:p w:rsidR="00521D96" w:rsidRPr="006068BA" w:rsidRDefault="00521D96" w:rsidP="00521D96">
      <w:pPr>
        <w:pStyle w:val="Nothing"/>
      </w:pPr>
    </w:p>
    <w:sectPr w:rsidR="00521D96" w:rsidRPr="006068BA" w:rsidSect="00521D96">
      <w:headerReference w:type="default" r:id="rId8"/>
      <w:footerReference w:type="even" r:id="rId9"/>
      <w:footerReference w:type="default" r:id="rId10"/>
      <w:pgSz w:w="12240" w:h="15840"/>
      <w:pgMar w:top="1440" w:right="720" w:bottom="1440" w:left="72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1A1" w:rsidRDefault="005101A1">
      <w:r>
        <w:separator/>
      </w:r>
    </w:p>
  </w:endnote>
  <w:endnote w:type="continuationSeparator" w:id="0">
    <w:p w:rsidR="005101A1" w:rsidRDefault="00510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90806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1A1" w:rsidRDefault="005101A1" w:rsidP="00521D96">
    <w:pPr>
      <w:pStyle w:val="Footer"/>
      <w:framePr w:wrap="around" w:vAnchor="text" w:hAnchor="margin" w:xAlign="right" w:y="1"/>
      <w:rPr>
        <w:rStyle w:val="PageNumber"/>
        <w:rFonts w:eastAsia="Calibri"/>
        <w:sz w:val="20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01A1" w:rsidRDefault="005101A1" w:rsidP="00521D9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1A1" w:rsidRPr="00377379" w:rsidRDefault="005101A1" w:rsidP="00521D96">
    <w:pPr>
      <w:pStyle w:val="Footer"/>
      <w:framePr w:wrap="around" w:vAnchor="text" w:hAnchor="margin" w:xAlign="right" w:y="1"/>
      <w:rPr>
        <w:rStyle w:val="PageNumber"/>
        <w:rFonts w:eastAsia="Calibri"/>
        <w:sz w:val="20"/>
        <w:szCs w:val="22"/>
      </w:rPr>
    </w:pPr>
    <w:r w:rsidRPr="00377379">
      <w:rPr>
        <w:rStyle w:val="PageNumber"/>
        <w:b/>
        <w:sz w:val="36"/>
      </w:rPr>
      <w:fldChar w:fldCharType="begin"/>
    </w:r>
    <w:r w:rsidRPr="00377379">
      <w:rPr>
        <w:rStyle w:val="PageNumber"/>
        <w:b/>
        <w:sz w:val="36"/>
      </w:rPr>
      <w:instrText xml:space="preserve">PAGE  </w:instrText>
    </w:r>
    <w:r w:rsidRPr="00377379">
      <w:rPr>
        <w:rStyle w:val="PageNumber"/>
        <w:b/>
        <w:sz w:val="36"/>
      </w:rPr>
      <w:fldChar w:fldCharType="separate"/>
    </w:r>
    <w:r w:rsidR="00794C70">
      <w:rPr>
        <w:rStyle w:val="PageNumber"/>
        <w:b/>
        <w:noProof/>
        <w:sz w:val="36"/>
      </w:rPr>
      <w:t>1</w:t>
    </w:r>
    <w:r w:rsidRPr="00377379">
      <w:rPr>
        <w:rStyle w:val="PageNumber"/>
        <w:b/>
        <w:sz w:val="36"/>
      </w:rPr>
      <w:fldChar w:fldCharType="end"/>
    </w:r>
  </w:p>
  <w:p w:rsidR="005101A1" w:rsidRPr="00DB4EF5" w:rsidRDefault="005101A1" w:rsidP="00521D96">
    <w:pPr>
      <w:pStyle w:val="Footer"/>
      <w:ind w:right="360"/>
      <w:rPr>
        <w:b/>
        <w:sz w:val="16"/>
      </w:rPr>
    </w:pPr>
    <w:r w:rsidRPr="00DB4EF5">
      <w:rPr>
        <w:rStyle w:val="PageNumber"/>
        <w:sz w:val="16"/>
        <w:lang w:bidi="en-US"/>
      </w:rPr>
      <w:t xml:space="preserve">Last printed </w:t>
    </w:r>
    <w:r w:rsidRPr="00DB4EF5">
      <w:rPr>
        <w:rStyle w:val="PageNumber"/>
        <w:sz w:val="16"/>
        <w:lang w:bidi="en-US"/>
      </w:rPr>
      <w:fldChar w:fldCharType="begin"/>
    </w:r>
    <w:r w:rsidRPr="00DB4EF5">
      <w:rPr>
        <w:rStyle w:val="PageNumber"/>
        <w:sz w:val="16"/>
        <w:lang w:bidi="en-US"/>
      </w:rPr>
      <w:instrText xml:space="preserve"> PRINTDATE </w:instrText>
    </w:r>
    <w:r w:rsidRPr="00DB4EF5">
      <w:rPr>
        <w:rStyle w:val="PageNumber"/>
        <w:sz w:val="16"/>
        <w:lang w:bidi="en-US"/>
      </w:rPr>
      <w:fldChar w:fldCharType="separate"/>
    </w:r>
    <w:r>
      <w:rPr>
        <w:rStyle w:val="PageNumber"/>
        <w:noProof/>
        <w:sz w:val="16"/>
        <w:lang w:bidi="en-US"/>
      </w:rPr>
      <w:t>9/4/09 7:00 PM</w:t>
    </w:r>
    <w:r w:rsidRPr="00DB4EF5">
      <w:rPr>
        <w:rStyle w:val="PageNumber"/>
        <w:sz w:val="16"/>
        <w:lang w:bidi="en-US"/>
      </w:rPr>
      <w:fldChar w:fldCharType="end"/>
    </w:r>
    <w:r w:rsidRPr="00DB4EF5">
      <w:rPr>
        <w:rStyle w:val="PageNumber"/>
        <w:sz w:val="16"/>
        <w:lang w:bidi="en-US"/>
      </w:rPr>
      <w:tab/>
    </w:r>
    <w:r w:rsidRPr="00DB4EF5">
      <w:rPr>
        <w:rStyle w:val="PageNumber"/>
        <w:sz w:val="16"/>
        <w:lang w:bidi="en-US"/>
      </w:rPr>
      <w:tab/>
    </w:r>
    <w:r w:rsidRPr="00DB4EF5">
      <w:rPr>
        <w:rStyle w:val="PageNumber"/>
        <w:sz w:val="16"/>
        <w:lang w:bidi="en-US"/>
      </w:rPr>
      <w:tab/>
    </w:r>
    <w:r w:rsidRPr="00DB4EF5">
      <w:rPr>
        <w:rStyle w:val="PageNumber"/>
        <w:sz w:val="16"/>
        <w:lang w:bidi="en-US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1A1" w:rsidRDefault="005101A1">
      <w:r>
        <w:separator/>
      </w:r>
    </w:p>
  </w:footnote>
  <w:footnote w:type="continuationSeparator" w:id="0">
    <w:p w:rsidR="005101A1" w:rsidRDefault="005101A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1A1" w:rsidRDefault="005101A1" w:rsidP="00521D96">
    <w:pPr>
      <w:pStyle w:val="Header"/>
      <w:tabs>
        <w:tab w:val="right" w:pos="10800"/>
      </w:tabs>
      <w:rPr>
        <w:b/>
        <w:sz w:val="20"/>
      </w:rPr>
    </w:pPr>
    <w:r>
      <w:rPr>
        <w:b/>
        <w:sz w:val="20"/>
        <w:lang w:bidi="en-US"/>
      </w:rPr>
      <w:t>T Demo Debate</w:t>
    </w:r>
    <w:r w:rsidRPr="00DB4EF5">
      <w:rPr>
        <w:b/>
        <w:sz w:val="20"/>
        <w:lang w:bidi="en-US"/>
      </w:rPr>
      <w:tab/>
    </w:r>
    <w:r w:rsidRPr="00DB4EF5">
      <w:rPr>
        <w:b/>
        <w:sz w:val="20"/>
        <w:lang w:bidi="en-US"/>
      </w:rPr>
      <w:tab/>
    </w:r>
    <w:r>
      <w:rPr>
        <w:b/>
        <w:sz w:val="20"/>
        <w:lang w:bidi="en-US"/>
      </w:rPr>
      <w:tab/>
      <w:t>DDW 2012</w:t>
    </w:r>
  </w:p>
  <w:p w:rsidR="005101A1" w:rsidRPr="0016728F" w:rsidRDefault="005101A1" w:rsidP="00521D96">
    <w:pPr>
      <w:pStyle w:val="Header"/>
      <w:tabs>
        <w:tab w:val="right" w:pos="10800"/>
      </w:tabs>
      <w:jc w:val="right"/>
      <w:rPr>
        <w:b/>
        <w:sz w:val="28"/>
        <w:szCs w:val="28"/>
      </w:rPr>
    </w:pPr>
    <w:r w:rsidRPr="0016728F">
      <w:rPr>
        <w:b/>
        <w:sz w:val="28"/>
        <w:szCs w:val="28"/>
      </w:rPr>
      <w:t>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DFE6A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0ED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3BEA4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670E8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99EB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37CE54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99EEB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9A85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410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E56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85EDD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C2A095A"/>
    <w:multiLevelType w:val="hybridMultilevel"/>
    <w:tmpl w:val="12CA52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95E6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8660A"/>
    <w:rsid w:val="00165E8C"/>
    <w:rsid w:val="00274A67"/>
    <w:rsid w:val="0028531B"/>
    <w:rsid w:val="005101A1"/>
    <w:rsid w:val="00521D96"/>
    <w:rsid w:val="0058312A"/>
    <w:rsid w:val="00794C70"/>
    <w:rsid w:val="0099374D"/>
    <w:rsid w:val="00A20815"/>
    <w:rsid w:val="00A76712"/>
    <w:rsid w:val="00B8660A"/>
    <w:rsid w:val="00D40C0E"/>
    <w:rsid w:val="00D9196A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6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Normal/Card"/>
    <w:qFormat/>
    <w:rsid w:val="00165E8C"/>
    <w:rPr>
      <w:rFonts w:eastAsia="Calibri"/>
      <w:szCs w:val="22"/>
    </w:rPr>
  </w:style>
  <w:style w:type="paragraph" w:styleId="Heading3">
    <w:name w:val="heading 3"/>
    <w:aliases w:val="Tag,Heading 3 Char Char,Char, Char"/>
    <w:basedOn w:val="Normal"/>
    <w:next w:val="Normal"/>
    <w:link w:val="Heading3Char"/>
    <w:qFormat/>
    <w:rsid w:val="00165E8C"/>
    <w:pPr>
      <w:keepNext/>
      <w:keepLines/>
      <w:outlineLvl w:val="2"/>
    </w:pPr>
    <w:rPr>
      <w:rFonts w:eastAsia="Times New Roman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DB4EF5"/>
    <w:pPr>
      <w:tabs>
        <w:tab w:val="center" w:pos="4320"/>
        <w:tab w:val="right" w:pos="8640"/>
      </w:tabs>
    </w:pPr>
    <w:rPr>
      <w:rFonts w:eastAsia="Times New Roman"/>
      <w:sz w:val="24"/>
      <w:szCs w:val="24"/>
    </w:rPr>
  </w:style>
  <w:style w:type="paragraph" w:styleId="Footer">
    <w:name w:val="footer"/>
    <w:basedOn w:val="Normal"/>
    <w:semiHidden/>
    <w:rsid w:val="00DB4EF5"/>
    <w:pPr>
      <w:tabs>
        <w:tab w:val="center" w:pos="4320"/>
        <w:tab w:val="right" w:pos="8640"/>
      </w:tabs>
    </w:pPr>
    <w:rPr>
      <w:rFonts w:eastAsia="Times New Roman"/>
      <w:sz w:val="24"/>
      <w:szCs w:val="24"/>
    </w:rPr>
  </w:style>
  <w:style w:type="paragraph" w:customStyle="1" w:styleId="BlockHeadings">
    <w:name w:val="Block Headings"/>
    <w:next w:val="Nothing"/>
    <w:rsid w:val="00DB4EF5"/>
    <w:pPr>
      <w:widowControl w:val="0"/>
      <w:jc w:val="center"/>
      <w:outlineLvl w:val="0"/>
    </w:pPr>
    <w:rPr>
      <w:b/>
      <w:sz w:val="28"/>
      <w:szCs w:val="24"/>
    </w:rPr>
  </w:style>
  <w:style w:type="paragraph" w:customStyle="1" w:styleId="Nothing">
    <w:name w:val="Nothing"/>
    <w:rsid w:val="00DB4EF5"/>
    <w:pPr>
      <w:jc w:val="both"/>
    </w:pPr>
    <w:rPr>
      <w:szCs w:val="24"/>
    </w:rPr>
  </w:style>
  <w:style w:type="paragraph" w:customStyle="1" w:styleId="Cards">
    <w:name w:val="Cards"/>
    <w:next w:val="Nothing"/>
    <w:rsid w:val="00801565"/>
    <w:pPr>
      <w:widowControl w:val="0"/>
      <w:ind w:left="432" w:right="432"/>
    </w:pPr>
    <w:rPr>
      <w:szCs w:val="24"/>
    </w:rPr>
  </w:style>
  <w:style w:type="character" w:customStyle="1" w:styleId="DebateUnderline">
    <w:name w:val="Debate Underline"/>
    <w:rsid w:val="0016728F"/>
    <w:rPr>
      <w:rFonts w:ascii="Times New Roman" w:hAnsi="Times New Roman"/>
      <w:sz w:val="20"/>
      <w:u w:val="thick"/>
    </w:rPr>
  </w:style>
  <w:style w:type="paragraph" w:customStyle="1" w:styleId="Cites">
    <w:name w:val="Cites"/>
    <w:next w:val="Cards"/>
    <w:rsid w:val="00801565"/>
    <w:pPr>
      <w:widowControl w:val="0"/>
      <w:outlineLvl w:val="2"/>
    </w:pPr>
    <w:rPr>
      <w:szCs w:val="24"/>
    </w:rPr>
  </w:style>
  <w:style w:type="character" w:customStyle="1" w:styleId="Author-Date">
    <w:name w:val="Author-Date"/>
    <w:rsid w:val="00DB4EF5"/>
    <w:rPr>
      <w:b/>
      <w:sz w:val="24"/>
    </w:rPr>
  </w:style>
  <w:style w:type="paragraph" w:styleId="DocumentMap">
    <w:name w:val="Document Map"/>
    <w:basedOn w:val="Normal"/>
    <w:semiHidden/>
    <w:rsid w:val="00DB4EF5"/>
    <w:pPr>
      <w:shd w:val="clear" w:color="auto" w:fill="C6D5EC"/>
    </w:pPr>
    <w:rPr>
      <w:rFonts w:ascii="Lucida Grande" w:eastAsia="Times New Roman" w:hAnsi="Lucida Grande"/>
      <w:sz w:val="24"/>
      <w:szCs w:val="24"/>
    </w:rPr>
  </w:style>
  <w:style w:type="paragraph" w:customStyle="1" w:styleId="Tags">
    <w:name w:val="Tags"/>
    <w:next w:val="Nothing"/>
    <w:rsid w:val="00801565"/>
    <w:pPr>
      <w:widowControl w:val="0"/>
      <w:outlineLvl w:val="1"/>
    </w:pPr>
    <w:rPr>
      <w:b/>
      <w:sz w:val="24"/>
      <w:szCs w:val="24"/>
    </w:rPr>
  </w:style>
  <w:style w:type="paragraph" w:customStyle="1" w:styleId="HiddenBlockHeader">
    <w:name w:val="Hidden Block Header"/>
    <w:basedOn w:val="BlockHeadings"/>
    <w:next w:val="Nothing"/>
    <w:rsid w:val="00DB4EF5"/>
    <w:pPr>
      <w:outlineLvl w:val="9"/>
    </w:pPr>
  </w:style>
  <w:style w:type="character" w:styleId="PageNumber">
    <w:name w:val="page number"/>
    <w:basedOn w:val="DefaultParagraphFont"/>
    <w:rsid w:val="00DB4EF5"/>
  </w:style>
  <w:style w:type="paragraph" w:styleId="TOC2">
    <w:name w:val="toc 2"/>
    <w:basedOn w:val="Normal"/>
    <w:next w:val="Normal"/>
    <w:autoRedefine/>
    <w:semiHidden/>
    <w:rsid w:val="000B01B3"/>
    <w:pPr>
      <w:ind w:left="240"/>
    </w:pPr>
    <w:rPr>
      <w:rFonts w:eastAsia="Times New Roman"/>
      <w:sz w:val="24"/>
      <w:szCs w:val="24"/>
    </w:rPr>
  </w:style>
  <w:style w:type="character" w:customStyle="1" w:styleId="DebateHighlighted">
    <w:name w:val="Debate Highlighted"/>
    <w:rsid w:val="007C52BB"/>
    <w:rPr>
      <w:rFonts w:ascii="Times New Roman" w:hAnsi="Times New Roman"/>
      <w:sz w:val="20"/>
      <w:u w:val="thick"/>
      <w:bdr w:val="none" w:sz="0" w:space="0" w:color="auto"/>
      <w:shd w:val="clear" w:color="auto" w:fill="00FFFF"/>
    </w:rPr>
  </w:style>
  <w:style w:type="paragraph" w:styleId="TOC1">
    <w:name w:val="toc 1"/>
    <w:basedOn w:val="Normal"/>
    <w:next w:val="Normal"/>
    <w:autoRedefine/>
    <w:semiHidden/>
    <w:rsid w:val="00A9617A"/>
    <w:rPr>
      <w:rFonts w:eastAsia="Times New Roman"/>
      <w:sz w:val="24"/>
      <w:szCs w:val="24"/>
    </w:rPr>
  </w:style>
  <w:style w:type="character" w:customStyle="1" w:styleId="DottedUnderline">
    <w:name w:val="Dotted Underline"/>
    <w:rsid w:val="00C46DE2"/>
    <w:rPr>
      <w:rFonts w:ascii="Times New Roman" w:hAnsi="Times New Roman"/>
      <w:sz w:val="20"/>
      <w:u w:val="dottedHeavy"/>
    </w:rPr>
  </w:style>
  <w:style w:type="character" w:customStyle="1" w:styleId="Heading3Char">
    <w:name w:val="Heading 3 Char"/>
    <w:aliases w:val="Tag Char,Heading 3 Char Char Char,Char Char, Char Char"/>
    <w:basedOn w:val="DefaultParagraphFont"/>
    <w:link w:val="Heading3"/>
    <w:uiPriority w:val="3"/>
    <w:qFormat/>
    <w:rsid w:val="00165E8C"/>
    <w:rPr>
      <w:b/>
      <w:bCs/>
      <w:szCs w:val="22"/>
    </w:rPr>
  </w:style>
  <w:style w:type="character" w:styleId="Emphasis">
    <w:name w:val="Emphasis"/>
    <w:aliases w:val="Evidence,Minimized,minimized,Highlighted,tag2,Size 10,emphasis in card"/>
    <w:uiPriority w:val="6"/>
    <w:qFormat/>
    <w:rsid w:val="00165E8C"/>
    <w:rPr>
      <w:rFonts w:ascii="Times New Roman" w:hAnsi="Times New Roman"/>
      <w:b w:val="0"/>
      <w:i w:val="0"/>
      <w:iCs/>
      <w:sz w:val="20"/>
      <w:u w:val="single"/>
      <w:bdr w:val="single" w:sz="4" w:space="0" w:color="auto"/>
    </w:rPr>
  </w:style>
  <w:style w:type="character" w:customStyle="1" w:styleId="StyleBoldUnderline">
    <w:name w:val="Style Bold Underline"/>
    <w:aliases w:val="Intense Emphasis,Underline,apple-style-span + 6 pt,Kern at 16 pt,Bold,Intense Emphasis1,Intense Emphasis2,Title Char,HHeading 3 + 12 pt,Cards + Font: 12 pt Char,Style,Bold Cite Char,Citation Char Char Char,ci"/>
    <w:uiPriority w:val="5"/>
    <w:qFormat/>
    <w:rsid w:val="00165E8C"/>
    <w:rPr>
      <w:rFonts w:ascii="Times New Roman" w:hAnsi="Times New Roman"/>
      <w:b w:val="0"/>
      <w:bCs/>
      <w:sz w:val="20"/>
      <w:u w:val="single"/>
    </w:rPr>
  </w:style>
  <w:style w:type="character" w:customStyle="1" w:styleId="StyleStyleBold12pt">
    <w:name w:val="Style Style Bold + 12 pt"/>
    <w:aliases w:val="Cite,Style Style Bold,Style Style Bold + 12pt"/>
    <w:uiPriority w:val="4"/>
    <w:qFormat/>
    <w:rsid w:val="00165E8C"/>
    <w:rPr>
      <w:rFonts w:ascii="Times New Roman" w:hAnsi="Times New Roman"/>
      <w:b/>
      <w:bCs/>
      <w:sz w:val="20"/>
    </w:rPr>
  </w:style>
  <w:style w:type="character" w:styleId="Hyperlink">
    <w:name w:val="Hyperlink"/>
    <w:basedOn w:val="DefaultParagraphFont"/>
    <w:rsid w:val="0099374D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993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llacademic.com//meta/p_mla_apa_research_citation/0/9/8/6/8/pages98680/p98680-1.php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icoleSerrano:Library:Application%20Support:Microsoft:Office:User%20Templates:My%20Templates:Dartmouth%20Template%2020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Dartmouth Template 2009.dot</Template>
  <TotalTime>31</TotalTime>
  <Pages>4</Pages>
  <Words>1351</Words>
  <Characters>7704</Characters>
  <Application>Microsoft Macintosh Word</Application>
  <DocSecurity>0</DocSecurity>
  <Lines>64</Lines>
  <Paragraphs>15</Paragraphs>
  <ScaleCrop>false</ScaleCrop>
  <Company>Hewlett-Packard</Company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+ 1 – Block Headings</dc:title>
  <dc:subject/>
  <dc:creator>NICOLE SERRANO</dc:creator>
  <cp:keywords/>
  <cp:lastModifiedBy>NICOLE SERRANO</cp:lastModifiedBy>
  <cp:revision>3</cp:revision>
  <cp:lastPrinted>2009-09-04T23:00:00Z</cp:lastPrinted>
  <dcterms:created xsi:type="dcterms:W3CDTF">2012-06-23T00:30:00Z</dcterms:created>
  <dcterms:modified xsi:type="dcterms:W3CDTF">2012-06-23T01:52:00Z</dcterms:modified>
</cp:coreProperties>
</file>